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CCD4" w14:textId="77777777" w:rsidR="001E148C" w:rsidRPr="008D42EF" w:rsidRDefault="001E148C" w:rsidP="001E148C">
      <w:pPr>
        <w:spacing w:after="0"/>
        <w:jc w:val="right"/>
        <w:rPr>
          <w:rFonts w:ascii="Palatino Linotype" w:hAnsi="Palatino Linotype"/>
          <w:caps/>
          <w:sz w:val="21"/>
          <w:szCs w:val="21"/>
          <w:lang w:val="en-GB"/>
        </w:rPr>
      </w:pPr>
      <w:r w:rsidRPr="008D42EF">
        <w:rPr>
          <w:lang w:val="en-GB" w:eastAsia="sr-Latn-RS"/>
        </w:rPr>
        <w:drawing>
          <wp:inline distT="0" distB="0" distL="0" distR="0" wp14:anchorId="177618E7" wp14:editId="28A60D71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0F9C" w14:textId="77777777" w:rsidR="008D42EF" w:rsidRPr="008D42EF" w:rsidRDefault="008D42EF" w:rsidP="008D42E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caps/>
          <w:sz w:val="24"/>
          <w:szCs w:val="24"/>
          <w:lang w:val="en-GB"/>
        </w:rPr>
        <w:t>15</w:t>
      </w:r>
      <w:r w:rsidRPr="008D42EF">
        <w:rPr>
          <w:rFonts w:ascii="Times New Roman" w:hAnsi="Times New Roman"/>
          <w:b/>
          <w:caps/>
          <w:sz w:val="24"/>
          <w:szCs w:val="24"/>
          <w:vertAlign w:val="superscript"/>
          <w:lang w:val="en-GB"/>
        </w:rPr>
        <w:t>TH</w:t>
      </w:r>
      <w:r w:rsidRPr="008D42EF">
        <w:rPr>
          <w:rFonts w:ascii="Times New Roman" w:hAnsi="Times New Roman"/>
          <w:b/>
          <w:caps/>
          <w:sz w:val="24"/>
          <w:szCs w:val="24"/>
          <w:lang w:val="en-GB"/>
        </w:rPr>
        <w:t xml:space="preserve"> INTERNATIONAL SCIENTIFIC CONFERENCE</w:t>
      </w:r>
    </w:p>
    <w:p w14:paraId="4F11B946" w14:textId="77777777" w:rsidR="008D42EF" w:rsidRPr="008D42EF" w:rsidRDefault="008D42EF" w:rsidP="008D42E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i/>
          <w:caps/>
          <w:sz w:val="24"/>
          <w:szCs w:val="24"/>
          <w:lang w:val="en-GB"/>
        </w:rPr>
        <w:t>SERBIAN LANGUAGE, LITERATURE, ART</w:t>
      </w:r>
    </w:p>
    <w:p w14:paraId="5DDA2724" w14:textId="1D4D91D2" w:rsidR="008D42EF" w:rsidRPr="008D42EF" w:rsidRDefault="008D42EF" w:rsidP="008D42EF">
      <w:pPr>
        <w:spacing w:after="0" w:line="240" w:lineRule="auto"/>
        <w:jc w:val="right"/>
        <w:rPr>
          <w:rFonts w:ascii="Times New Roman" w:hAnsi="Times New Roman"/>
          <w:b/>
          <w:smallCaps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i/>
          <w:sz w:val="24"/>
          <w:szCs w:val="24"/>
          <w:lang w:val="en-GB"/>
        </w:rPr>
        <w:t>Kragujevac, 30th-31st October 2020</w:t>
      </w:r>
    </w:p>
    <w:p w14:paraId="5CEE7DC9" w14:textId="77777777" w:rsidR="006207C9" w:rsidRPr="008D42EF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445C71F8" w14:textId="77777777" w:rsidR="006207C9" w:rsidRPr="008D42EF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298D0ACA" w14:textId="77777777" w:rsidR="006207C9" w:rsidRPr="008D42EF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22E3BD1A" w14:textId="27B2592B" w:rsidR="006207C9" w:rsidRPr="008D42EF" w:rsidRDefault="006207C9" w:rsidP="006207C9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sz w:val="24"/>
          <w:szCs w:val="24"/>
          <w:lang w:val="en-GB"/>
        </w:rPr>
        <w:t>APPLIED AND FINE ARTS</w:t>
      </w:r>
      <w:r w:rsidRPr="008D42EF">
        <w:rPr>
          <w:rFonts w:ascii="Times New Roman" w:hAnsi="Times New Roman"/>
          <w:sz w:val="24"/>
          <w:szCs w:val="24"/>
          <w:lang w:val="en-GB"/>
        </w:rPr>
        <w:t xml:space="preserve"> SECTION </w:t>
      </w:r>
      <w:r w:rsidR="00356F50" w:rsidRPr="008D42EF">
        <w:rPr>
          <w:rFonts w:ascii="Times New Roman" w:hAnsi="Times New Roman"/>
          <w:sz w:val="24"/>
          <w:szCs w:val="24"/>
          <w:lang w:val="en-GB"/>
        </w:rPr>
        <w:t>THEMES</w:t>
      </w:r>
    </w:p>
    <w:p w14:paraId="75B497A3" w14:textId="52BF64CA" w:rsidR="006207C9" w:rsidRPr="008D42EF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73A761" w14:textId="065EF083" w:rsidR="008D42EF" w:rsidRPr="008D42EF" w:rsidRDefault="008D42EF" w:rsidP="008D42EF">
      <w:pPr>
        <w:spacing w:after="0" w:line="240" w:lineRule="auto"/>
        <w:jc w:val="center"/>
        <w:rPr>
          <w:rFonts w:ascii="Times New Roman" w:hAnsi="Times New Roman"/>
          <w:b/>
          <w:color w:val="0070C0"/>
          <w:sz w:val="52"/>
          <w:szCs w:val="5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0070C0"/>
          <w:sz w:val="52"/>
          <w:szCs w:val="52"/>
          <w:lang w:val="en-GB"/>
          <w14:reflection w14:blurRad="6350" w14:stA="55000" w14:stPos="0" w14:endA="50" w14:endPos="85000" w14:dist="29997" w14:dir="5400000" w14:fadeDir="5400000" w14:sx="100000" w14:sy="-100000" w14:kx="0" w14:ky="0" w14:algn="bl"/>
        </w:rPr>
        <w:t>ASPIRATION IN THE ARTS</w:t>
      </w:r>
    </w:p>
    <w:p w14:paraId="01391E51" w14:textId="77777777" w:rsidR="00BC21CC" w:rsidRPr="008D42EF" w:rsidRDefault="00BC21CC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C2A4E90" w14:textId="77777777" w:rsidR="006207C9" w:rsidRPr="008D42EF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sz w:val="24"/>
          <w:szCs w:val="24"/>
          <w:lang w:val="en-GB"/>
        </w:rPr>
        <w:t>Topics:</w:t>
      </w:r>
    </w:p>
    <w:p w14:paraId="6E14B803" w14:textId="77777777" w:rsidR="006207C9" w:rsidRPr="008D42EF" w:rsidRDefault="006207C9" w:rsidP="006207C9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050011F4" w14:textId="77B44999" w:rsidR="00BC21CC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bCs/>
          <w:sz w:val="24"/>
          <w:szCs w:val="24"/>
          <w:lang w:val="en-GB"/>
        </w:rPr>
        <w:t xml:space="preserve">Architecture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vs Music</w:t>
      </w:r>
    </w:p>
    <w:p w14:paraId="5A785BDB" w14:textId="2DC9CC39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New tendencies in architecture</w:t>
      </w:r>
    </w:p>
    <w:p w14:paraId="31AC6E7D" w14:textId="37A02390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Architecture in continuum</w:t>
      </w:r>
    </w:p>
    <w:p w14:paraId="15811AF7" w14:textId="69FFCA70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Interculturality in the arts</w:t>
      </w:r>
    </w:p>
    <w:p w14:paraId="15060E7F" w14:textId="2BD15028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Legacy and the new media</w:t>
      </w:r>
    </w:p>
    <w:p w14:paraId="17FCEBD2" w14:textId="662ADBC1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Film – records for tomorrow</w:t>
      </w:r>
    </w:p>
    <w:p w14:paraId="153D5927" w14:textId="66F450D0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Museums as places of memory</w:t>
      </w:r>
    </w:p>
    <w:p w14:paraId="45CD1C72" w14:textId="091EDE41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The future we desire</w:t>
      </w:r>
    </w:p>
    <w:p w14:paraId="00412002" w14:textId="43977E53" w:rsidR="008D42EF" w:rsidRPr="008D42EF" w:rsidRDefault="008D42EF" w:rsidP="008D42EF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 w:rsidRPr="008D42EF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Deus ex </w:t>
      </w:r>
      <w:proofErr w:type="spellStart"/>
      <w:r w:rsidRPr="008D42EF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machina</w:t>
      </w:r>
      <w:proofErr w:type="spellEnd"/>
    </w:p>
    <w:p w14:paraId="25D619E2" w14:textId="73072D48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Tendencies in teaching art</w:t>
      </w:r>
    </w:p>
    <w:p w14:paraId="75610D7A" w14:textId="1F31808B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The art teacher in the 21</w:t>
      </w:r>
      <w:r w:rsidRPr="008D42EF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century</w:t>
      </w:r>
    </w:p>
    <w:p w14:paraId="2B6CC319" w14:textId="31053076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Individualization in teaching art</w:t>
      </w:r>
    </w:p>
    <w:p w14:paraId="2F20DA10" w14:textId="35442784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E-learning in teaching art</w:t>
      </w:r>
    </w:p>
    <w:p w14:paraId="12ACBFD5" w14:textId="57F959B8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The Internet and its resources in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teaching art</w:t>
      </w:r>
    </w:p>
    <w:p w14:paraId="08E89CD9" w14:textId="7A8B22FA" w:rsid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ICT in the advancement of teaching</w:t>
      </w:r>
    </w:p>
    <w:p w14:paraId="46C9D0FC" w14:textId="2662F924" w:rsidR="008D42EF" w:rsidRPr="008D42EF" w:rsidRDefault="008D42EF" w:rsidP="008D4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Science – teaching – learning</w:t>
      </w:r>
    </w:p>
    <w:p w14:paraId="50EB864E" w14:textId="3DFCAED3" w:rsidR="008D42EF" w:rsidRDefault="008D42EF" w:rsidP="008D42EF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21CB98D7" w14:textId="77777777" w:rsidR="008D42EF" w:rsidRPr="008D42EF" w:rsidRDefault="008D42EF" w:rsidP="008D42EF">
      <w:pPr>
        <w:spacing w:after="0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14:paraId="03BA7444" w14:textId="230B0ACE" w:rsidR="008D42EF" w:rsidRDefault="008D42EF" w:rsidP="008D42EF">
      <w:pPr>
        <w:spacing w:after="0"/>
        <w:rPr>
          <w:rFonts w:ascii="Times New Roman" w:hAnsi="Times New Roman"/>
          <w:sz w:val="21"/>
          <w:szCs w:val="21"/>
          <w:lang w:val="en-GB"/>
        </w:rPr>
      </w:pPr>
    </w:p>
    <w:p w14:paraId="127A692B" w14:textId="77777777" w:rsidR="008D42EF" w:rsidRPr="00C556D0" w:rsidRDefault="008D42EF" w:rsidP="008D42E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6D0">
        <w:rPr>
          <w:rFonts w:ascii="Times New Roman" w:hAnsi="Times New Roman"/>
          <w:b/>
          <w:sz w:val="24"/>
          <w:szCs w:val="24"/>
          <w:u w:val="single"/>
        </w:rPr>
        <w:t>CONFERENCE PROCEDURE GUIDELINES</w:t>
      </w:r>
    </w:p>
    <w:p w14:paraId="7D214B98" w14:textId="77777777" w:rsidR="008D42EF" w:rsidRPr="008322B4" w:rsidRDefault="008D42EF" w:rsidP="008D42E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015DF02C" w14:textId="77777777" w:rsidR="008D42EF" w:rsidRPr="008322B4" w:rsidRDefault="008D42EF" w:rsidP="008D42E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322B4">
        <w:rPr>
          <w:rFonts w:ascii="Times New Roman" w:hAnsi="Times New Roman"/>
        </w:rPr>
        <w:t xml:space="preserve">The application with the paper title and proposal is to be sent via an electronic form on </w:t>
      </w:r>
      <w:r w:rsidRPr="001208A0">
        <w:rPr>
          <w:rFonts w:ascii="Times New Roman" w:hAnsi="Times New Roman"/>
        </w:rPr>
        <w:t>the Conference webpage</w:t>
      </w:r>
      <w:r w:rsidRPr="008322B4">
        <w:rPr>
          <w:rFonts w:ascii="Times New Roman" w:hAnsi="Times New Roman"/>
        </w:rPr>
        <w:t xml:space="preserve">. The participants will be informed </w:t>
      </w:r>
      <w:r>
        <w:rPr>
          <w:rFonts w:ascii="Times New Roman" w:hAnsi="Times New Roman"/>
        </w:rPr>
        <w:t>regarding</w:t>
      </w:r>
      <w:r w:rsidRPr="0083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Pr="008322B4">
        <w:rPr>
          <w:rFonts w:ascii="Times New Roman" w:hAnsi="Times New Roman"/>
        </w:rPr>
        <w:t xml:space="preserve"> paper proposal</w:t>
      </w:r>
      <w:r>
        <w:rPr>
          <w:rFonts w:ascii="Times New Roman" w:hAnsi="Times New Roman"/>
        </w:rPr>
        <w:t xml:space="preserve"> acceptance </w:t>
      </w:r>
      <w:r w:rsidRPr="008322B4">
        <w:rPr>
          <w:rFonts w:ascii="Times New Roman" w:hAnsi="Times New Roman"/>
        </w:rPr>
        <w:t>by the end of June.</w:t>
      </w:r>
    </w:p>
    <w:p w14:paraId="0BD37578" w14:textId="77777777" w:rsidR="008D42EF" w:rsidRDefault="008D42EF" w:rsidP="008D42E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8322B4">
        <w:rPr>
          <w:rFonts w:ascii="Times New Roman" w:hAnsi="Times New Roman"/>
        </w:rPr>
        <w:t>Each participant is allotted 15 minutes to present the paper. The submitted papers will be published in the</w:t>
      </w:r>
      <w:r>
        <w:rPr>
          <w:rFonts w:ascii="Times New Roman" w:hAnsi="Times New Roman"/>
        </w:rPr>
        <w:t xml:space="preserve"> designated</w:t>
      </w:r>
      <w:r w:rsidRPr="008322B4">
        <w:rPr>
          <w:rFonts w:ascii="Times New Roman" w:hAnsi="Times New Roman"/>
        </w:rPr>
        <w:t xml:space="preserve"> Conference Proceedings (to be printed next year).</w:t>
      </w:r>
    </w:p>
    <w:p w14:paraId="4A4E39E3" w14:textId="77777777" w:rsidR="008D42EF" w:rsidRDefault="008D42EF" w:rsidP="008D42E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322B4">
        <w:rPr>
          <w:rFonts w:ascii="Times New Roman" w:hAnsi="Times New Roman"/>
        </w:rPr>
        <w:t xml:space="preserve">The Conference Registration Fee is 6000 Serbian dinars (RSD). The Registration Fee covers the publication of the Conference Proceedings, promotional material, cocktail, lunch, and dinner (on the </w:t>
      </w:r>
      <w:r w:rsidRPr="008322B4">
        <w:rPr>
          <w:rFonts w:ascii="Times New Roman" w:hAnsi="Times New Roman"/>
        </w:rPr>
        <w:lastRenderedPageBreak/>
        <w:t xml:space="preserve">first day of the Conference). Participants from Serbia are to cover their own accommodation and travel expenses. For participants </w:t>
      </w:r>
      <w:r>
        <w:rPr>
          <w:rFonts w:ascii="Times New Roman" w:hAnsi="Times New Roman"/>
        </w:rPr>
        <w:t>coming from abroad</w:t>
      </w:r>
      <w:r w:rsidRPr="008322B4">
        <w:rPr>
          <w:rFonts w:ascii="Times New Roman" w:hAnsi="Times New Roman"/>
        </w:rPr>
        <w:t xml:space="preserve">, the Registration Fee covers accommodation </w:t>
      </w:r>
      <w:r>
        <w:rPr>
          <w:rFonts w:ascii="Times New Roman" w:hAnsi="Times New Roman"/>
        </w:rPr>
        <w:t xml:space="preserve">expenses </w:t>
      </w:r>
      <w:r w:rsidRPr="008322B4">
        <w:rPr>
          <w:rFonts w:ascii="Times New Roman" w:hAnsi="Times New Roman"/>
        </w:rPr>
        <w:t>(BB, two nights)</w:t>
      </w:r>
      <w:r>
        <w:rPr>
          <w:rFonts w:ascii="Times New Roman" w:hAnsi="Times New Roman"/>
        </w:rPr>
        <w:t>, as well</w:t>
      </w:r>
      <w:r w:rsidRPr="008322B4">
        <w:rPr>
          <w:rFonts w:ascii="Times New Roman" w:hAnsi="Times New Roman"/>
        </w:rPr>
        <w:t>.</w:t>
      </w:r>
    </w:p>
    <w:p w14:paraId="79AA39DA" w14:textId="0DE500DF" w:rsidR="008D42EF" w:rsidRPr="008D42EF" w:rsidRDefault="008D42EF" w:rsidP="008D42E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322B4">
        <w:rPr>
          <w:rFonts w:ascii="Times New Roman" w:hAnsi="Times New Roman"/>
        </w:rPr>
        <w:t>Travel expenses are to be covered by the participants.</w:t>
      </w:r>
    </w:p>
    <w:sectPr w:rsidR="008D42EF" w:rsidRPr="008D42EF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C4A0F"/>
    <w:rsid w:val="00162FF7"/>
    <w:rsid w:val="001E148C"/>
    <w:rsid w:val="002C2E59"/>
    <w:rsid w:val="00356F50"/>
    <w:rsid w:val="003908F3"/>
    <w:rsid w:val="004A3161"/>
    <w:rsid w:val="004B00B7"/>
    <w:rsid w:val="004C771F"/>
    <w:rsid w:val="004C7E26"/>
    <w:rsid w:val="00614179"/>
    <w:rsid w:val="006207C9"/>
    <w:rsid w:val="00696857"/>
    <w:rsid w:val="006B2C3F"/>
    <w:rsid w:val="006C2708"/>
    <w:rsid w:val="007C07F9"/>
    <w:rsid w:val="008D42EF"/>
    <w:rsid w:val="008F411F"/>
    <w:rsid w:val="00A5714E"/>
    <w:rsid w:val="00A573F6"/>
    <w:rsid w:val="00A70051"/>
    <w:rsid w:val="00BC21CC"/>
    <w:rsid w:val="00BE5936"/>
    <w:rsid w:val="00C14D63"/>
    <w:rsid w:val="00C70879"/>
    <w:rsid w:val="00D87468"/>
    <w:rsid w:val="00DC60FB"/>
    <w:rsid w:val="00EB1C30"/>
    <w:rsid w:val="00FA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D446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4507-9695-4F61-84ED-D0CEBEB2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Tijana Matovic</cp:lastModifiedBy>
  <cp:revision>11</cp:revision>
  <dcterms:created xsi:type="dcterms:W3CDTF">2016-02-08T19:13:00Z</dcterms:created>
  <dcterms:modified xsi:type="dcterms:W3CDTF">2019-12-23T14:23:00Z</dcterms:modified>
</cp:coreProperties>
</file>