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8A782" w14:textId="77777777" w:rsidR="001E148C" w:rsidRPr="007F2625" w:rsidRDefault="001E148C" w:rsidP="001E148C">
      <w:pPr>
        <w:spacing w:after="0"/>
        <w:jc w:val="right"/>
        <w:rPr>
          <w:rFonts w:ascii="Palatino Linotype" w:hAnsi="Palatino Linotype"/>
          <w:caps/>
          <w:sz w:val="21"/>
          <w:szCs w:val="21"/>
        </w:rPr>
      </w:pPr>
      <w:bookmarkStart w:id="0" w:name="_GoBack"/>
      <w:bookmarkEnd w:id="0"/>
      <w:r w:rsidRPr="007F2625">
        <w:rPr>
          <w:noProof/>
        </w:rPr>
        <w:drawing>
          <wp:inline distT="0" distB="0" distL="0" distR="0" wp14:anchorId="464B2466" wp14:editId="4BC03D90">
            <wp:extent cx="2238375"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bright="12000" contrast="42000"/>
                      <a:extLst>
                        <a:ext uri="{28A0092B-C50C-407E-A947-70E740481C1C}">
                          <a14:useLocalDpi xmlns:a14="http://schemas.microsoft.com/office/drawing/2010/main" val="0"/>
                        </a:ext>
                      </a:extLst>
                    </a:blip>
                    <a:srcRect l="-5324" t="29979" r="-5324" b="29979"/>
                    <a:stretch>
                      <a:fillRect/>
                    </a:stretch>
                  </pic:blipFill>
                  <pic:spPr bwMode="auto">
                    <a:xfrm>
                      <a:off x="0" y="0"/>
                      <a:ext cx="2238375" cy="800100"/>
                    </a:xfrm>
                    <a:prstGeom prst="rect">
                      <a:avLst/>
                    </a:prstGeom>
                    <a:noFill/>
                    <a:ln>
                      <a:noFill/>
                    </a:ln>
                  </pic:spPr>
                </pic:pic>
              </a:graphicData>
            </a:graphic>
          </wp:inline>
        </w:drawing>
      </w:r>
    </w:p>
    <w:p w14:paraId="458F1E30" w14:textId="77777777" w:rsidR="0035537A" w:rsidRPr="007F2625" w:rsidRDefault="0035537A" w:rsidP="0035537A">
      <w:pPr>
        <w:spacing w:after="0" w:line="240" w:lineRule="auto"/>
        <w:jc w:val="right"/>
        <w:rPr>
          <w:rFonts w:ascii="Times New Roman" w:hAnsi="Times New Roman"/>
          <w:b/>
          <w:caps/>
          <w:sz w:val="24"/>
          <w:szCs w:val="24"/>
        </w:rPr>
      </w:pPr>
      <w:r w:rsidRPr="007F2625">
        <w:rPr>
          <w:rFonts w:ascii="Times New Roman" w:hAnsi="Times New Roman"/>
          <w:b/>
          <w:caps/>
          <w:sz w:val="24"/>
          <w:szCs w:val="24"/>
        </w:rPr>
        <w:t>15</w:t>
      </w:r>
      <w:r w:rsidRPr="007F2625">
        <w:rPr>
          <w:rFonts w:ascii="Times New Roman" w:hAnsi="Times New Roman"/>
          <w:b/>
          <w:caps/>
          <w:sz w:val="24"/>
          <w:szCs w:val="24"/>
          <w:vertAlign w:val="superscript"/>
        </w:rPr>
        <w:t>TH</w:t>
      </w:r>
      <w:r w:rsidRPr="007F2625">
        <w:rPr>
          <w:rFonts w:ascii="Times New Roman" w:hAnsi="Times New Roman"/>
          <w:b/>
          <w:caps/>
          <w:sz w:val="24"/>
          <w:szCs w:val="24"/>
        </w:rPr>
        <w:t xml:space="preserve"> INTERNATIONAL SCIENTIFIC CONFERENCE</w:t>
      </w:r>
    </w:p>
    <w:p w14:paraId="1E85E9F0" w14:textId="77777777" w:rsidR="0035537A" w:rsidRPr="007F2625" w:rsidRDefault="0035537A" w:rsidP="0035537A">
      <w:pPr>
        <w:spacing w:after="0" w:line="240" w:lineRule="auto"/>
        <w:jc w:val="right"/>
        <w:rPr>
          <w:rFonts w:ascii="Times New Roman" w:hAnsi="Times New Roman"/>
          <w:b/>
          <w:caps/>
          <w:sz w:val="24"/>
          <w:szCs w:val="24"/>
        </w:rPr>
      </w:pPr>
      <w:r w:rsidRPr="007F2625">
        <w:rPr>
          <w:rFonts w:ascii="Times New Roman" w:hAnsi="Times New Roman"/>
          <w:b/>
          <w:i/>
          <w:caps/>
          <w:sz w:val="24"/>
          <w:szCs w:val="24"/>
        </w:rPr>
        <w:t>SERBIAN LANGUAGE, LITERATURE, ART</w:t>
      </w:r>
    </w:p>
    <w:p w14:paraId="126C4F24" w14:textId="77777777" w:rsidR="0035537A" w:rsidRPr="007F2625" w:rsidRDefault="0035537A" w:rsidP="0035537A">
      <w:pPr>
        <w:spacing w:after="0" w:line="240" w:lineRule="auto"/>
        <w:jc w:val="right"/>
        <w:rPr>
          <w:rFonts w:ascii="Times New Roman" w:hAnsi="Times New Roman"/>
          <w:b/>
          <w:smallCaps/>
          <w:sz w:val="24"/>
          <w:szCs w:val="24"/>
        </w:rPr>
      </w:pPr>
      <w:r w:rsidRPr="007F2625">
        <w:rPr>
          <w:rFonts w:ascii="Times New Roman" w:hAnsi="Times New Roman"/>
          <w:b/>
          <w:i/>
          <w:sz w:val="24"/>
          <w:szCs w:val="24"/>
        </w:rPr>
        <w:t>Kragujevac, 30th-31st October 2020</w:t>
      </w:r>
    </w:p>
    <w:p w14:paraId="6024DF55" w14:textId="77777777" w:rsidR="0035537A" w:rsidRPr="007F2625" w:rsidRDefault="0035537A" w:rsidP="0035537A">
      <w:pPr>
        <w:spacing w:after="0" w:line="240" w:lineRule="auto"/>
        <w:rPr>
          <w:rFonts w:ascii="Times New Roman" w:hAnsi="Times New Roman"/>
          <w:sz w:val="24"/>
          <w:szCs w:val="24"/>
        </w:rPr>
      </w:pPr>
    </w:p>
    <w:p w14:paraId="0198B61F" w14:textId="77777777" w:rsidR="0035537A" w:rsidRPr="007F2625" w:rsidRDefault="0035537A" w:rsidP="0035537A">
      <w:pPr>
        <w:spacing w:after="0" w:line="240" w:lineRule="auto"/>
        <w:rPr>
          <w:rFonts w:ascii="Times New Roman" w:hAnsi="Times New Roman"/>
          <w:sz w:val="20"/>
          <w:szCs w:val="20"/>
        </w:rPr>
      </w:pPr>
    </w:p>
    <w:p w14:paraId="5A8F6880" w14:textId="77777777" w:rsidR="00D150E2" w:rsidRPr="007F2625" w:rsidRDefault="004A74A5" w:rsidP="00D150E2">
      <w:pPr>
        <w:spacing w:after="0"/>
        <w:jc w:val="center"/>
        <w:rPr>
          <w:rFonts w:ascii="Times New Roman" w:hAnsi="Times New Roman"/>
          <w:sz w:val="24"/>
          <w:szCs w:val="24"/>
          <w:u w:val="single"/>
        </w:rPr>
      </w:pPr>
      <w:r w:rsidRPr="007F2625">
        <w:rPr>
          <w:rFonts w:ascii="Times New Roman" w:hAnsi="Times New Roman"/>
          <w:sz w:val="24"/>
          <w:szCs w:val="24"/>
          <w:u w:val="single"/>
        </w:rPr>
        <w:t xml:space="preserve">LINGUISTICS SECTION </w:t>
      </w:r>
      <w:r w:rsidR="00153F35" w:rsidRPr="007F2625">
        <w:rPr>
          <w:rFonts w:ascii="Times New Roman" w:hAnsi="Times New Roman"/>
          <w:sz w:val="24"/>
          <w:szCs w:val="24"/>
          <w:u w:val="single"/>
        </w:rPr>
        <w:t>THEMES</w:t>
      </w:r>
    </w:p>
    <w:p w14:paraId="4AA8DAE8" w14:textId="77777777" w:rsidR="00153F35" w:rsidRPr="007F2625" w:rsidRDefault="00153F35" w:rsidP="00D150E2">
      <w:pPr>
        <w:spacing w:after="0"/>
        <w:jc w:val="center"/>
        <w:rPr>
          <w:rFonts w:ascii="Times New Roman" w:hAnsi="Times New Roman"/>
          <w:sz w:val="24"/>
          <w:szCs w:val="24"/>
        </w:rPr>
      </w:pPr>
    </w:p>
    <w:p w14:paraId="4AE2C482" w14:textId="77777777" w:rsidR="004A74A5" w:rsidRPr="007F2625" w:rsidRDefault="0035537A" w:rsidP="004A74A5">
      <w:pPr>
        <w:spacing w:after="0"/>
        <w:jc w:val="center"/>
        <w:rPr>
          <w:rFonts w:ascii="Times New Roman" w:hAnsi="Times New Roman"/>
          <w:b/>
          <w:sz w:val="44"/>
          <w:szCs w:val="44"/>
        </w:rPr>
      </w:pPr>
      <w:r w:rsidRPr="007F2625">
        <w:rPr>
          <w:rFonts w:ascii="Times New Roman" w:hAnsi="Times New Roman"/>
          <w:b/>
          <w:color w:val="FF0000"/>
          <w:sz w:val="44"/>
          <w:szCs w:val="44"/>
        </w:rPr>
        <w:t>MODALITY IN THE SERBIAN LANGUAGE</w:t>
      </w:r>
    </w:p>
    <w:p w14:paraId="78997AFA" w14:textId="77777777" w:rsidR="006207C9" w:rsidRPr="007F2625" w:rsidRDefault="006207C9" w:rsidP="006207C9">
      <w:pPr>
        <w:spacing w:after="0"/>
        <w:jc w:val="center"/>
        <w:rPr>
          <w:rFonts w:ascii="Times New Roman" w:hAnsi="Times New Roman"/>
          <w:b/>
          <w:sz w:val="24"/>
          <w:szCs w:val="24"/>
        </w:rPr>
      </w:pPr>
    </w:p>
    <w:p w14:paraId="330FBB29" w14:textId="77777777" w:rsidR="006207C9" w:rsidRPr="007F2625" w:rsidRDefault="006207C9" w:rsidP="007F2625">
      <w:pPr>
        <w:spacing w:after="0" w:line="240" w:lineRule="auto"/>
        <w:rPr>
          <w:rFonts w:ascii="Times New Roman" w:hAnsi="Times New Roman"/>
        </w:rPr>
      </w:pPr>
    </w:p>
    <w:p w14:paraId="7D8BF4EC" w14:textId="77777777" w:rsidR="00E52FAA" w:rsidRPr="007F2625" w:rsidRDefault="0035537A" w:rsidP="007F2625">
      <w:pPr>
        <w:spacing w:after="0" w:line="240" w:lineRule="auto"/>
        <w:jc w:val="center"/>
        <w:rPr>
          <w:rFonts w:ascii="Times New Roman" w:hAnsi="Times New Roman"/>
          <w:b/>
          <w:bCs/>
        </w:rPr>
      </w:pPr>
      <w:r w:rsidRPr="007F2625">
        <w:rPr>
          <w:rFonts w:ascii="Times New Roman" w:hAnsi="Times New Roman"/>
          <w:b/>
          <w:bCs/>
        </w:rPr>
        <w:t>Understanding modality in different sciences and their (non)interference</w:t>
      </w:r>
    </w:p>
    <w:p w14:paraId="7D400A8D" w14:textId="77777777" w:rsidR="0035537A" w:rsidRPr="007F2625" w:rsidRDefault="00A2344C" w:rsidP="007F2625">
      <w:pPr>
        <w:spacing w:after="0" w:line="240" w:lineRule="auto"/>
        <w:jc w:val="center"/>
        <w:rPr>
          <w:rFonts w:ascii="Times New Roman" w:hAnsi="Times New Roman"/>
          <w:b/>
          <w:bCs/>
        </w:rPr>
      </w:pPr>
      <w:r w:rsidRPr="007F2625">
        <w:rPr>
          <w:rFonts w:ascii="Times New Roman" w:hAnsi="Times New Roman"/>
          <w:b/>
          <w:bCs/>
        </w:rPr>
        <w:t>The s</w:t>
      </w:r>
      <w:r w:rsidR="0035537A" w:rsidRPr="007F2625">
        <w:rPr>
          <w:rFonts w:ascii="Times New Roman" w:hAnsi="Times New Roman"/>
          <w:b/>
          <w:bCs/>
        </w:rPr>
        <w:t>emantics and the pragmatics of modality</w:t>
      </w:r>
    </w:p>
    <w:p w14:paraId="1CE1B724" w14:textId="77777777" w:rsidR="0035537A" w:rsidRPr="007F2625" w:rsidRDefault="0035537A" w:rsidP="007F2625">
      <w:pPr>
        <w:spacing w:after="0" w:line="240" w:lineRule="auto"/>
        <w:jc w:val="center"/>
        <w:rPr>
          <w:rFonts w:ascii="Times New Roman" w:hAnsi="Times New Roman"/>
          <w:b/>
          <w:bCs/>
        </w:rPr>
      </w:pPr>
      <w:r w:rsidRPr="007F2625">
        <w:rPr>
          <w:rFonts w:ascii="Times New Roman" w:hAnsi="Times New Roman"/>
          <w:b/>
          <w:bCs/>
        </w:rPr>
        <w:t xml:space="preserve">Modality and </w:t>
      </w:r>
      <w:r w:rsidR="00E012AC" w:rsidRPr="007F2625">
        <w:rPr>
          <w:rFonts w:ascii="Times New Roman" w:hAnsi="Times New Roman"/>
          <w:b/>
          <w:bCs/>
        </w:rPr>
        <w:t>parts of speech (modality of verbs, adverbs, nouns…)</w:t>
      </w:r>
      <w:r w:rsidR="00E012AC" w:rsidRPr="007F2625">
        <w:rPr>
          <w:rFonts w:ascii="Times New Roman" w:hAnsi="Times New Roman"/>
          <w:b/>
          <w:bCs/>
        </w:rPr>
        <w:br/>
        <w:t>Modality as a morphological and as a syntactic category</w:t>
      </w:r>
    </w:p>
    <w:p w14:paraId="1A3B938E" w14:textId="77777777" w:rsidR="00E012AC" w:rsidRPr="007F2625" w:rsidRDefault="00E012AC" w:rsidP="007F2625">
      <w:pPr>
        <w:spacing w:after="0" w:line="240" w:lineRule="auto"/>
        <w:jc w:val="center"/>
        <w:rPr>
          <w:rFonts w:ascii="Times New Roman" w:hAnsi="Times New Roman"/>
          <w:b/>
          <w:bCs/>
        </w:rPr>
      </w:pPr>
      <w:r w:rsidRPr="007F2625">
        <w:rPr>
          <w:rFonts w:ascii="Times New Roman" w:hAnsi="Times New Roman"/>
          <w:b/>
          <w:bCs/>
        </w:rPr>
        <w:t>Grammaticalized and non-grammaticalized expressions of modality</w:t>
      </w:r>
    </w:p>
    <w:p w14:paraId="7A988041" w14:textId="77777777" w:rsidR="00E012AC" w:rsidRPr="007F2625" w:rsidRDefault="00E012AC" w:rsidP="007F2625">
      <w:pPr>
        <w:spacing w:after="0" w:line="240" w:lineRule="auto"/>
        <w:jc w:val="center"/>
        <w:rPr>
          <w:rFonts w:ascii="Times New Roman" w:hAnsi="Times New Roman"/>
          <w:b/>
          <w:bCs/>
        </w:rPr>
      </w:pPr>
      <w:r w:rsidRPr="007F2625">
        <w:rPr>
          <w:rFonts w:ascii="Times New Roman" w:hAnsi="Times New Roman"/>
          <w:b/>
          <w:bCs/>
        </w:rPr>
        <w:t xml:space="preserve">The interrelationship between types of modality and types of texts </w:t>
      </w:r>
      <w:r w:rsidR="00214ECB" w:rsidRPr="007F2625">
        <w:rPr>
          <w:rFonts w:ascii="Times New Roman" w:hAnsi="Times New Roman"/>
          <w:b/>
          <w:bCs/>
        </w:rPr>
        <w:t>with respect to</w:t>
      </w:r>
      <w:r w:rsidRPr="007F2625">
        <w:rPr>
          <w:rFonts w:ascii="Times New Roman" w:hAnsi="Times New Roman"/>
          <w:b/>
          <w:bCs/>
        </w:rPr>
        <w:t xml:space="preserve"> functional styles and genre</w:t>
      </w:r>
      <w:r w:rsidR="007F2625" w:rsidRPr="007F2625">
        <w:rPr>
          <w:rFonts w:ascii="Times New Roman" w:hAnsi="Times New Roman"/>
          <w:b/>
          <w:bCs/>
        </w:rPr>
        <w:t>s (modality in literary</w:t>
      </w:r>
      <w:r w:rsidR="00214ECB" w:rsidRPr="007F2625">
        <w:rPr>
          <w:rFonts w:ascii="Times New Roman" w:hAnsi="Times New Roman"/>
          <w:b/>
          <w:bCs/>
        </w:rPr>
        <w:t xml:space="preserve">, </w:t>
      </w:r>
      <w:r w:rsidR="007F2625" w:rsidRPr="007F2625">
        <w:rPr>
          <w:rFonts w:ascii="Times New Roman" w:hAnsi="Times New Roman"/>
          <w:b/>
          <w:bCs/>
        </w:rPr>
        <w:t>journalistic</w:t>
      </w:r>
      <w:r w:rsidR="00214ECB" w:rsidRPr="007F2625">
        <w:rPr>
          <w:rFonts w:ascii="Times New Roman" w:hAnsi="Times New Roman"/>
          <w:b/>
          <w:bCs/>
        </w:rPr>
        <w:t>, scientific, administrative and other texts)</w:t>
      </w:r>
    </w:p>
    <w:p w14:paraId="477D3D5E" w14:textId="77777777" w:rsidR="00214ECB" w:rsidRPr="007F2625" w:rsidRDefault="00214ECB" w:rsidP="007F2625">
      <w:pPr>
        <w:spacing w:after="0" w:line="240" w:lineRule="auto"/>
        <w:jc w:val="center"/>
        <w:rPr>
          <w:rFonts w:ascii="Times New Roman" w:hAnsi="Times New Roman"/>
          <w:b/>
          <w:bCs/>
        </w:rPr>
      </w:pPr>
      <w:r w:rsidRPr="007F2625">
        <w:rPr>
          <w:rFonts w:ascii="Times New Roman" w:hAnsi="Times New Roman"/>
          <w:b/>
          <w:bCs/>
        </w:rPr>
        <w:t xml:space="preserve">The role of </w:t>
      </w:r>
      <w:r w:rsidR="00A2344C" w:rsidRPr="007F2625">
        <w:rPr>
          <w:rFonts w:ascii="Times New Roman" w:hAnsi="Times New Roman"/>
          <w:b/>
          <w:bCs/>
        </w:rPr>
        <w:t>units</w:t>
      </w:r>
      <w:r w:rsidRPr="007F2625">
        <w:rPr>
          <w:rFonts w:ascii="Times New Roman" w:hAnsi="Times New Roman"/>
          <w:b/>
          <w:bCs/>
        </w:rPr>
        <w:t xml:space="preserve"> from every level of linguistic analysis in expressing modality (of phonemes, morphemes, lexemes, </w:t>
      </w:r>
      <w:proofErr w:type="spellStart"/>
      <w:r w:rsidRPr="007F2625">
        <w:rPr>
          <w:rFonts w:ascii="Times New Roman" w:hAnsi="Times New Roman"/>
          <w:b/>
          <w:bCs/>
        </w:rPr>
        <w:t>syntagms</w:t>
      </w:r>
      <w:proofErr w:type="spellEnd"/>
      <w:r w:rsidRPr="007F2625">
        <w:rPr>
          <w:rFonts w:ascii="Times New Roman" w:hAnsi="Times New Roman"/>
          <w:b/>
          <w:bCs/>
        </w:rPr>
        <w:t>, sentences, expressions)</w:t>
      </w:r>
    </w:p>
    <w:p w14:paraId="2AA80D73" w14:textId="77777777" w:rsidR="00214ECB" w:rsidRPr="007F2625" w:rsidRDefault="007F2625" w:rsidP="007F2625">
      <w:pPr>
        <w:spacing w:after="0" w:line="240" w:lineRule="auto"/>
        <w:jc w:val="center"/>
        <w:rPr>
          <w:rFonts w:ascii="Times New Roman" w:hAnsi="Times New Roman"/>
          <w:b/>
          <w:bCs/>
        </w:rPr>
      </w:pPr>
      <w:r w:rsidRPr="007F2625">
        <w:rPr>
          <w:rFonts w:ascii="Times New Roman" w:hAnsi="Times New Roman"/>
          <w:b/>
          <w:bCs/>
        </w:rPr>
        <w:t>C</w:t>
      </w:r>
      <w:r w:rsidR="00214ECB" w:rsidRPr="007F2625">
        <w:rPr>
          <w:rFonts w:ascii="Times New Roman" w:hAnsi="Times New Roman"/>
          <w:b/>
          <w:bCs/>
        </w:rPr>
        <w:t xml:space="preserve">ontrastive analysis of modality (modality in </w:t>
      </w:r>
      <w:r w:rsidR="00881B16" w:rsidRPr="007F2625">
        <w:rPr>
          <w:rFonts w:ascii="Times New Roman" w:hAnsi="Times New Roman"/>
          <w:b/>
          <w:bCs/>
        </w:rPr>
        <w:t>Serbian in reference to other languages)</w:t>
      </w:r>
    </w:p>
    <w:p w14:paraId="0C18C780" w14:textId="77777777" w:rsidR="00881B16" w:rsidRPr="007F2625" w:rsidRDefault="00881B16" w:rsidP="007F2625">
      <w:pPr>
        <w:spacing w:after="0" w:line="240" w:lineRule="auto"/>
        <w:jc w:val="center"/>
        <w:rPr>
          <w:rFonts w:ascii="Times New Roman" w:hAnsi="Times New Roman"/>
          <w:b/>
          <w:bCs/>
        </w:rPr>
      </w:pPr>
      <w:r w:rsidRPr="007F2625">
        <w:rPr>
          <w:rFonts w:ascii="Times New Roman" w:hAnsi="Times New Roman"/>
          <w:b/>
          <w:bCs/>
        </w:rPr>
        <w:t>Modality and expressivity</w:t>
      </w:r>
    </w:p>
    <w:p w14:paraId="2DAA415C" w14:textId="77777777" w:rsidR="00881B16" w:rsidRPr="007F2625" w:rsidRDefault="00881B16" w:rsidP="007F2625">
      <w:pPr>
        <w:spacing w:after="0" w:line="240" w:lineRule="auto"/>
        <w:jc w:val="center"/>
        <w:rPr>
          <w:rFonts w:ascii="Times New Roman" w:hAnsi="Times New Roman"/>
          <w:b/>
          <w:bCs/>
        </w:rPr>
      </w:pPr>
      <w:r w:rsidRPr="007F2625">
        <w:rPr>
          <w:rFonts w:ascii="Times New Roman" w:hAnsi="Times New Roman"/>
          <w:b/>
          <w:bCs/>
        </w:rPr>
        <w:t>Modality in non-standard linguistic idioms (dialects, sociolects, the substandard)</w:t>
      </w:r>
    </w:p>
    <w:p w14:paraId="779A2150" w14:textId="77777777" w:rsidR="00881B16" w:rsidRPr="007F2625" w:rsidRDefault="00881B16" w:rsidP="007F2625">
      <w:pPr>
        <w:spacing w:after="0" w:line="240" w:lineRule="auto"/>
        <w:jc w:val="center"/>
        <w:rPr>
          <w:rFonts w:ascii="Times New Roman" w:hAnsi="Times New Roman"/>
          <w:b/>
          <w:bCs/>
        </w:rPr>
      </w:pPr>
      <w:r w:rsidRPr="007F2625">
        <w:rPr>
          <w:rFonts w:ascii="Times New Roman" w:hAnsi="Times New Roman"/>
          <w:b/>
          <w:bCs/>
        </w:rPr>
        <w:t>Diachronic aspects of modality</w:t>
      </w:r>
    </w:p>
    <w:p w14:paraId="6EFCF16C" w14:textId="77777777" w:rsidR="0035537A" w:rsidRPr="007F2625" w:rsidRDefault="0035537A" w:rsidP="007F2625">
      <w:pPr>
        <w:spacing w:after="0" w:line="240" w:lineRule="auto"/>
        <w:ind w:left="360"/>
        <w:rPr>
          <w:rFonts w:ascii="Times New Roman" w:hAnsi="Times New Roman"/>
        </w:rPr>
      </w:pPr>
    </w:p>
    <w:p w14:paraId="78C6A3B5" w14:textId="77777777" w:rsidR="0035537A" w:rsidRPr="007F2625" w:rsidRDefault="0035537A" w:rsidP="0035537A">
      <w:pPr>
        <w:spacing w:after="0"/>
        <w:ind w:left="360"/>
        <w:rPr>
          <w:rFonts w:ascii="Times New Roman" w:hAnsi="Times New Roman"/>
          <w:sz w:val="24"/>
          <w:szCs w:val="24"/>
        </w:rPr>
      </w:pPr>
    </w:p>
    <w:p w14:paraId="7783511C" w14:textId="77777777" w:rsidR="0035537A" w:rsidRPr="007F2625" w:rsidRDefault="0035537A" w:rsidP="0035537A">
      <w:pPr>
        <w:tabs>
          <w:tab w:val="left" w:pos="720"/>
        </w:tabs>
        <w:overflowPunct w:val="0"/>
        <w:autoSpaceDE w:val="0"/>
        <w:autoSpaceDN w:val="0"/>
        <w:adjustRightInd w:val="0"/>
        <w:spacing w:after="0"/>
        <w:jc w:val="center"/>
        <w:rPr>
          <w:rFonts w:ascii="Times New Roman" w:hAnsi="Times New Roman"/>
          <w:b/>
          <w:sz w:val="24"/>
          <w:szCs w:val="24"/>
          <w:u w:val="single"/>
        </w:rPr>
      </w:pPr>
      <w:r w:rsidRPr="007F2625">
        <w:rPr>
          <w:rFonts w:ascii="Times New Roman" w:hAnsi="Times New Roman"/>
          <w:b/>
          <w:sz w:val="24"/>
          <w:szCs w:val="24"/>
          <w:u w:val="single"/>
        </w:rPr>
        <w:t>CONFERENCE PROCEDURE GUIDELINES</w:t>
      </w:r>
    </w:p>
    <w:p w14:paraId="03CB90D8" w14:textId="77777777" w:rsidR="0035537A" w:rsidRPr="007F2625" w:rsidRDefault="0035537A" w:rsidP="0035537A">
      <w:pPr>
        <w:tabs>
          <w:tab w:val="left" w:pos="720"/>
        </w:tabs>
        <w:overflowPunct w:val="0"/>
        <w:autoSpaceDE w:val="0"/>
        <w:autoSpaceDN w:val="0"/>
        <w:adjustRightInd w:val="0"/>
        <w:spacing w:after="0"/>
        <w:jc w:val="center"/>
        <w:rPr>
          <w:rFonts w:ascii="Times New Roman" w:hAnsi="Times New Roman"/>
        </w:rPr>
      </w:pPr>
    </w:p>
    <w:p w14:paraId="338050B6" w14:textId="77777777" w:rsidR="0035537A" w:rsidRPr="007F2625" w:rsidRDefault="0035537A" w:rsidP="007F2625">
      <w:pPr>
        <w:tabs>
          <w:tab w:val="left" w:pos="426"/>
        </w:tabs>
        <w:overflowPunct w:val="0"/>
        <w:autoSpaceDE w:val="0"/>
        <w:autoSpaceDN w:val="0"/>
        <w:adjustRightInd w:val="0"/>
        <w:spacing w:after="0" w:line="240" w:lineRule="auto"/>
        <w:ind w:left="426"/>
        <w:jc w:val="center"/>
        <w:rPr>
          <w:rFonts w:ascii="Times New Roman" w:hAnsi="Times New Roman"/>
        </w:rPr>
      </w:pPr>
      <w:r w:rsidRPr="007F2625">
        <w:rPr>
          <w:rFonts w:ascii="Times New Roman" w:hAnsi="Times New Roman"/>
        </w:rPr>
        <w:t>1. The application with the paper title and proposal is to be sent via an electronic form on the Conference webpage. The participants will be informed regarding</w:t>
      </w:r>
      <w:r w:rsidR="007F2625">
        <w:rPr>
          <w:rFonts w:ascii="Times New Roman" w:hAnsi="Times New Roman"/>
        </w:rPr>
        <w:t xml:space="preserve"> </w:t>
      </w:r>
      <w:r w:rsidRPr="007F2625">
        <w:rPr>
          <w:rFonts w:ascii="Times New Roman" w:hAnsi="Times New Roman"/>
        </w:rPr>
        <w:t>the paper proposal acceptance by the end of June.</w:t>
      </w:r>
    </w:p>
    <w:p w14:paraId="5CA53054" w14:textId="77777777" w:rsidR="0035537A" w:rsidRPr="007F2625" w:rsidRDefault="0035537A" w:rsidP="007F2625">
      <w:pPr>
        <w:tabs>
          <w:tab w:val="left" w:pos="426"/>
        </w:tabs>
        <w:spacing w:after="0" w:line="240" w:lineRule="auto"/>
        <w:ind w:left="426"/>
        <w:jc w:val="center"/>
        <w:rPr>
          <w:rFonts w:ascii="Times New Roman" w:hAnsi="Times New Roman"/>
        </w:rPr>
      </w:pPr>
      <w:r w:rsidRPr="007F2625">
        <w:rPr>
          <w:rFonts w:ascii="Times New Roman" w:hAnsi="Times New Roman"/>
        </w:rPr>
        <w:t>2. Each participant is allotted 15 minutes to present the paper. The submitted papers will be published in the designated Conference Proceedings (to be printed next year).</w:t>
      </w:r>
    </w:p>
    <w:p w14:paraId="483BFB07" w14:textId="77777777" w:rsidR="0035537A" w:rsidRPr="007F2625" w:rsidRDefault="0035537A" w:rsidP="007F2625">
      <w:pPr>
        <w:tabs>
          <w:tab w:val="left" w:pos="426"/>
        </w:tabs>
        <w:spacing w:after="0" w:line="240" w:lineRule="auto"/>
        <w:ind w:left="426"/>
        <w:jc w:val="center"/>
        <w:rPr>
          <w:rFonts w:ascii="Times New Roman" w:hAnsi="Times New Roman"/>
        </w:rPr>
      </w:pPr>
      <w:r w:rsidRPr="007F2625">
        <w:rPr>
          <w:rFonts w:ascii="Times New Roman" w:hAnsi="Times New Roman"/>
        </w:rPr>
        <w:t>3. The Conference Registration Fee is 6000 Serbian dinars (RSD). The Registration Fee covers the publication of the Conference Proceedings, promotional material, cocktail, lunch, and dinner (on the first day of the Conference). Participants from Serbia are to cover their own accommodation and travel expenses. For participants coming from abroad, the Registration Fee covers accommodation expenses (BB, two nights), as well.</w:t>
      </w:r>
    </w:p>
    <w:p w14:paraId="401A26B1" w14:textId="77777777" w:rsidR="0035537A" w:rsidRPr="007F2625" w:rsidRDefault="0035537A" w:rsidP="007F2625">
      <w:pPr>
        <w:tabs>
          <w:tab w:val="left" w:pos="426"/>
        </w:tabs>
        <w:spacing w:after="0" w:line="240" w:lineRule="auto"/>
        <w:ind w:left="426"/>
        <w:jc w:val="center"/>
        <w:rPr>
          <w:rFonts w:ascii="Times New Roman" w:hAnsi="Times New Roman"/>
        </w:rPr>
      </w:pPr>
      <w:r w:rsidRPr="007F2625">
        <w:rPr>
          <w:rFonts w:ascii="Times New Roman" w:hAnsi="Times New Roman"/>
        </w:rPr>
        <w:t>4. Travel expenses are to be covered by the participants.</w:t>
      </w:r>
    </w:p>
    <w:sectPr w:rsidR="0035537A" w:rsidRPr="007F2625" w:rsidSect="000A344E">
      <w:pgSz w:w="12240" w:h="15840"/>
      <w:pgMar w:top="719" w:right="1440" w:bottom="107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FE54E5"/>
    <w:multiLevelType w:val="hybridMultilevel"/>
    <w:tmpl w:val="B6C2D57E"/>
    <w:lvl w:ilvl="0" w:tplc="CDD04824">
      <w:start w:val="1"/>
      <w:numFmt w:val="decimal"/>
      <w:lvlText w:val="%1."/>
      <w:lvlJc w:val="left"/>
      <w:pPr>
        <w:tabs>
          <w:tab w:val="num" w:pos="540"/>
        </w:tabs>
        <w:ind w:left="540" w:hanging="360"/>
      </w:pPr>
      <w:rPr>
        <w:rFonts w:hint="default"/>
      </w:rPr>
    </w:lvl>
    <w:lvl w:ilvl="1" w:tplc="241A0019" w:tentative="1">
      <w:start w:val="1"/>
      <w:numFmt w:val="lowerLetter"/>
      <w:lvlText w:val="%2."/>
      <w:lvlJc w:val="left"/>
      <w:pPr>
        <w:tabs>
          <w:tab w:val="num" w:pos="1260"/>
        </w:tabs>
        <w:ind w:left="1260" w:hanging="360"/>
      </w:pPr>
    </w:lvl>
    <w:lvl w:ilvl="2" w:tplc="241A001B" w:tentative="1">
      <w:start w:val="1"/>
      <w:numFmt w:val="lowerRoman"/>
      <w:lvlText w:val="%3."/>
      <w:lvlJc w:val="right"/>
      <w:pPr>
        <w:tabs>
          <w:tab w:val="num" w:pos="1980"/>
        </w:tabs>
        <w:ind w:left="1980" w:hanging="180"/>
      </w:pPr>
    </w:lvl>
    <w:lvl w:ilvl="3" w:tplc="241A000F" w:tentative="1">
      <w:start w:val="1"/>
      <w:numFmt w:val="decimal"/>
      <w:lvlText w:val="%4."/>
      <w:lvlJc w:val="left"/>
      <w:pPr>
        <w:tabs>
          <w:tab w:val="num" w:pos="2700"/>
        </w:tabs>
        <w:ind w:left="2700" w:hanging="360"/>
      </w:pPr>
    </w:lvl>
    <w:lvl w:ilvl="4" w:tplc="241A0019" w:tentative="1">
      <w:start w:val="1"/>
      <w:numFmt w:val="lowerLetter"/>
      <w:lvlText w:val="%5."/>
      <w:lvlJc w:val="left"/>
      <w:pPr>
        <w:tabs>
          <w:tab w:val="num" w:pos="3420"/>
        </w:tabs>
        <w:ind w:left="3420" w:hanging="360"/>
      </w:pPr>
    </w:lvl>
    <w:lvl w:ilvl="5" w:tplc="241A001B" w:tentative="1">
      <w:start w:val="1"/>
      <w:numFmt w:val="lowerRoman"/>
      <w:lvlText w:val="%6."/>
      <w:lvlJc w:val="right"/>
      <w:pPr>
        <w:tabs>
          <w:tab w:val="num" w:pos="4140"/>
        </w:tabs>
        <w:ind w:left="4140" w:hanging="180"/>
      </w:pPr>
    </w:lvl>
    <w:lvl w:ilvl="6" w:tplc="241A000F" w:tentative="1">
      <w:start w:val="1"/>
      <w:numFmt w:val="decimal"/>
      <w:lvlText w:val="%7."/>
      <w:lvlJc w:val="left"/>
      <w:pPr>
        <w:tabs>
          <w:tab w:val="num" w:pos="4860"/>
        </w:tabs>
        <w:ind w:left="4860" w:hanging="360"/>
      </w:pPr>
    </w:lvl>
    <w:lvl w:ilvl="7" w:tplc="241A0019" w:tentative="1">
      <w:start w:val="1"/>
      <w:numFmt w:val="lowerLetter"/>
      <w:lvlText w:val="%8."/>
      <w:lvlJc w:val="left"/>
      <w:pPr>
        <w:tabs>
          <w:tab w:val="num" w:pos="5580"/>
        </w:tabs>
        <w:ind w:left="5580" w:hanging="360"/>
      </w:pPr>
    </w:lvl>
    <w:lvl w:ilvl="8" w:tplc="241A001B" w:tentative="1">
      <w:start w:val="1"/>
      <w:numFmt w:val="lowerRoman"/>
      <w:lvlText w:val="%9."/>
      <w:lvlJc w:val="right"/>
      <w:pPr>
        <w:tabs>
          <w:tab w:val="num" w:pos="6300"/>
        </w:tabs>
        <w:ind w:left="6300" w:hanging="180"/>
      </w:pPr>
    </w:lvl>
  </w:abstractNum>
  <w:abstractNum w:abstractNumId="1" w15:restartNumberingAfterBreak="0">
    <w:nsid w:val="60D3477C"/>
    <w:multiLevelType w:val="hybridMultilevel"/>
    <w:tmpl w:val="93AA6DE4"/>
    <w:lvl w:ilvl="0" w:tplc="583C8DFA">
      <w:start w:val="1"/>
      <w:numFmt w:val="decimal"/>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051"/>
    <w:rsid w:val="000C4A0F"/>
    <w:rsid w:val="00153F35"/>
    <w:rsid w:val="00162FF7"/>
    <w:rsid w:val="001E148C"/>
    <w:rsid w:val="00214ECB"/>
    <w:rsid w:val="002A0917"/>
    <w:rsid w:val="002C2E59"/>
    <w:rsid w:val="0035537A"/>
    <w:rsid w:val="003908F3"/>
    <w:rsid w:val="00457208"/>
    <w:rsid w:val="00493B8B"/>
    <w:rsid w:val="004A3161"/>
    <w:rsid w:val="004A74A5"/>
    <w:rsid w:val="004B00B7"/>
    <w:rsid w:val="004C771F"/>
    <w:rsid w:val="004C7E26"/>
    <w:rsid w:val="005D47D7"/>
    <w:rsid w:val="00614179"/>
    <w:rsid w:val="006207C9"/>
    <w:rsid w:val="00696857"/>
    <w:rsid w:val="006B2C3F"/>
    <w:rsid w:val="006C2708"/>
    <w:rsid w:val="007200A2"/>
    <w:rsid w:val="007253EE"/>
    <w:rsid w:val="0077457A"/>
    <w:rsid w:val="00775D0A"/>
    <w:rsid w:val="007B0B5F"/>
    <w:rsid w:val="007C07F9"/>
    <w:rsid w:val="007F2625"/>
    <w:rsid w:val="008322B4"/>
    <w:rsid w:val="0084266C"/>
    <w:rsid w:val="00877BC8"/>
    <w:rsid w:val="00881B16"/>
    <w:rsid w:val="008F411F"/>
    <w:rsid w:val="00A2344C"/>
    <w:rsid w:val="00A573F6"/>
    <w:rsid w:val="00A70051"/>
    <w:rsid w:val="00AB2BF0"/>
    <w:rsid w:val="00B07839"/>
    <w:rsid w:val="00BE5936"/>
    <w:rsid w:val="00BF24B5"/>
    <w:rsid w:val="00C14D63"/>
    <w:rsid w:val="00C70879"/>
    <w:rsid w:val="00D150E2"/>
    <w:rsid w:val="00D35D9D"/>
    <w:rsid w:val="00D87468"/>
    <w:rsid w:val="00DC4845"/>
    <w:rsid w:val="00DC60FB"/>
    <w:rsid w:val="00E012AC"/>
    <w:rsid w:val="00E52FAA"/>
    <w:rsid w:val="00EB1C30"/>
    <w:rsid w:val="00F12613"/>
    <w:rsid w:val="00FA4F3A"/>
    <w:rsid w:val="00FA68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C87F1"/>
  <w15:docId w15:val="{DF5A1112-2C97-4FF1-878A-48AD204D8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48C"/>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148C"/>
    <w:rPr>
      <w:color w:val="0563C1" w:themeColor="hyperlink"/>
      <w:u w:val="single"/>
    </w:rPr>
  </w:style>
  <w:style w:type="paragraph" w:styleId="BalloonText">
    <w:name w:val="Balloon Text"/>
    <w:basedOn w:val="Normal"/>
    <w:link w:val="BalloonTextChar"/>
    <w:uiPriority w:val="99"/>
    <w:semiHidden/>
    <w:unhideWhenUsed/>
    <w:rsid w:val="006141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179"/>
    <w:rPr>
      <w:rFonts w:ascii="Tahoma" w:eastAsia="Times New Roman" w:hAnsi="Tahoma" w:cs="Tahoma"/>
      <w:sz w:val="16"/>
      <w:szCs w:val="16"/>
      <w:lang w:val="en-US"/>
    </w:rPr>
  </w:style>
  <w:style w:type="paragraph" w:styleId="ListParagraph">
    <w:name w:val="List Paragraph"/>
    <w:basedOn w:val="Normal"/>
    <w:uiPriority w:val="34"/>
    <w:qFormat/>
    <w:rsid w:val="006207C9"/>
    <w:pPr>
      <w:ind w:left="720"/>
      <w:contextualSpacing/>
    </w:pPr>
  </w:style>
  <w:style w:type="character" w:styleId="FollowedHyperlink">
    <w:name w:val="FollowedHyperlink"/>
    <w:basedOn w:val="DefaultParagraphFont"/>
    <w:uiPriority w:val="99"/>
    <w:semiHidden/>
    <w:unhideWhenUsed/>
    <w:rsid w:val="00C14D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E6306-B938-4A11-AD3F-B67326E4E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Jelena Jovanovic Bubanja</cp:lastModifiedBy>
  <cp:revision>2</cp:revision>
  <dcterms:created xsi:type="dcterms:W3CDTF">2020-01-20T08:30:00Z</dcterms:created>
  <dcterms:modified xsi:type="dcterms:W3CDTF">2020-01-20T08:30:00Z</dcterms:modified>
</cp:coreProperties>
</file>