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9EFC" w14:textId="77777777" w:rsidR="001E148C" w:rsidRPr="00A573F6" w:rsidRDefault="001E148C" w:rsidP="001E148C">
      <w:pPr>
        <w:spacing w:after="0"/>
        <w:jc w:val="right"/>
        <w:rPr>
          <w:rFonts w:ascii="Palatino Linotype" w:hAnsi="Palatino Linotype"/>
          <w:caps/>
          <w:sz w:val="21"/>
          <w:szCs w:val="21"/>
        </w:rPr>
      </w:pPr>
      <w:r w:rsidRPr="00A573F6">
        <w:rPr>
          <w:noProof/>
          <w:lang w:val="sr-Latn-RS" w:eastAsia="sr-Latn-RS"/>
        </w:rPr>
        <w:drawing>
          <wp:inline distT="0" distB="0" distL="0" distR="0" wp14:anchorId="677A9BA5" wp14:editId="65B1FEF4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5E4E4" w14:textId="77777777" w:rsidR="001E148C" w:rsidRPr="00A573F6" w:rsidRDefault="001E148C" w:rsidP="001E148C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687AD345" w14:textId="77777777" w:rsidR="006207C9" w:rsidRPr="00FD2D87" w:rsidRDefault="00162FF7" w:rsidP="006207C9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13</w:t>
      </w:r>
      <w:r w:rsidR="006207C9" w:rsidRPr="00FD2D87">
        <w:rPr>
          <w:rFonts w:ascii="Times New Roman" w:hAnsi="Times New Roman"/>
          <w:b/>
          <w:caps/>
          <w:sz w:val="28"/>
          <w:szCs w:val="28"/>
          <w:vertAlign w:val="superscript"/>
        </w:rPr>
        <w:t>TH</w:t>
      </w:r>
      <w:r w:rsidR="006207C9" w:rsidRPr="00FD2D87">
        <w:rPr>
          <w:rFonts w:ascii="Times New Roman" w:hAnsi="Times New Roman"/>
          <w:b/>
          <w:caps/>
          <w:sz w:val="28"/>
          <w:szCs w:val="28"/>
        </w:rPr>
        <w:t xml:space="preserve"> INTERNATIONAL SCIENTIFIC CONFERENCE</w:t>
      </w:r>
    </w:p>
    <w:p w14:paraId="4B07F31B" w14:textId="77777777" w:rsidR="006207C9" w:rsidRPr="00FD2D87" w:rsidRDefault="006207C9" w:rsidP="006207C9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FD2D87">
        <w:rPr>
          <w:rFonts w:ascii="Times New Roman" w:hAnsi="Times New Roman"/>
          <w:b/>
          <w:i/>
          <w:caps/>
          <w:sz w:val="28"/>
          <w:szCs w:val="28"/>
        </w:rPr>
        <w:t>SERBIAN LANGUAGE, LITERATURE, ART</w:t>
      </w:r>
    </w:p>
    <w:p w14:paraId="0B062203" w14:textId="77777777" w:rsidR="006207C9" w:rsidRPr="00220AC4" w:rsidRDefault="00162FF7" w:rsidP="006207C9">
      <w:pPr>
        <w:spacing w:after="0" w:line="240" w:lineRule="auto"/>
        <w:jc w:val="right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i/>
          <w:sz w:val="28"/>
          <w:szCs w:val="28"/>
        </w:rPr>
        <w:t>Kragujevac, 26th-27th October 2018</w:t>
      </w:r>
    </w:p>
    <w:p w14:paraId="05538058" w14:textId="77777777" w:rsidR="006207C9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6F6CBC" w14:textId="77777777" w:rsidR="006207C9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AB4E0D" w14:textId="77777777" w:rsidR="006207C9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DE15F9" w14:textId="77777777" w:rsidR="006207C9" w:rsidRPr="00FD2D87" w:rsidRDefault="006207C9" w:rsidP="006207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THEMES (</w:t>
      </w:r>
      <w:r w:rsidRPr="00BE5936">
        <w:rPr>
          <w:rFonts w:ascii="Times New Roman" w:hAnsi="Times New Roman"/>
          <w:b/>
          <w:sz w:val="24"/>
          <w:szCs w:val="24"/>
        </w:rPr>
        <w:t>APPLIED AND FINE ARTS</w:t>
      </w:r>
      <w:r>
        <w:rPr>
          <w:rFonts w:ascii="Times New Roman" w:hAnsi="Times New Roman"/>
          <w:sz w:val="24"/>
          <w:szCs w:val="24"/>
        </w:rPr>
        <w:t xml:space="preserve"> SECTION OF THE CONFERENCE)</w:t>
      </w:r>
    </w:p>
    <w:p w14:paraId="70FDD5B5" w14:textId="77777777" w:rsidR="006207C9" w:rsidRPr="00E05805" w:rsidRDefault="00162FF7" w:rsidP="006207C9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NEWBORN ART</w:t>
      </w:r>
    </w:p>
    <w:p w14:paraId="54FC824E" w14:textId="77777777" w:rsidR="006207C9" w:rsidRPr="00FD2D87" w:rsidRDefault="006207C9" w:rsidP="006207C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761FC66B" w14:textId="77777777" w:rsidR="006207C9" w:rsidRPr="00FD2D87" w:rsidRDefault="006207C9" w:rsidP="006207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2D87">
        <w:rPr>
          <w:rFonts w:ascii="Times New Roman" w:hAnsi="Times New Roman"/>
          <w:b/>
          <w:sz w:val="24"/>
          <w:szCs w:val="24"/>
        </w:rPr>
        <w:t>Topics</w:t>
      </w:r>
      <w:r w:rsidRPr="00FD2D87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14:paraId="3C0C0024" w14:textId="77777777" w:rsidR="006207C9" w:rsidRPr="007E0AD4" w:rsidRDefault="006207C9" w:rsidP="006207C9">
      <w:pPr>
        <w:spacing w:after="0"/>
        <w:rPr>
          <w:rFonts w:ascii="Times New Roman" w:hAnsi="Times New Roman"/>
          <w:sz w:val="24"/>
          <w:szCs w:val="24"/>
        </w:rPr>
      </w:pPr>
    </w:p>
    <w:p w14:paraId="336E35ED" w14:textId="77777777" w:rsidR="001E148C" w:rsidRPr="006207C9" w:rsidRDefault="00162FF7" w:rsidP="006207C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The birth and birthing of the artist</w:t>
      </w:r>
    </w:p>
    <w:p w14:paraId="26179E90" w14:textId="77777777" w:rsidR="00162FF7" w:rsidRPr="00162FF7" w:rsidRDefault="00162FF7" w:rsidP="00162FF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Babies and children (as a motif) in painting</w:t>
      </w:r>
    </w:p>
    <w:p w14:paraId="732ACF81" w14:textId="77777777" w:rsidR="00162FF7" w:rsidRPr="00162FF7" w:rsidRDefault="00162FF7" w:rsidP="00162FF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Birth-death-rebirth in art</w:t>
      </w:r>
    </w:p>
    <w:p w14:paraId="4C6775DC" w14:textId="77777777" w:rsidR="00162FF7" w:rsidRPr="00162FF7" w:rsidRDefault="00162FF7" w:rsidP="00162FF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Art of the 21</w:t>
      </w:r>
      <w:r w:rsidRPr="00162FF7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century</w:t>
      </w:r>
    </w:p>
    <w:p w14:paraId="38214546" w14:textId="77777777" w:rsidR="006207C9" w:rsidRPr="006207C9" w:rsidRDefault="00162FF7" w:rsidP="006207C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The new architectural code</w:t>
      </w:r>
    </w:p>
    <w:p w14:paraId="6F6B6BCA" w14:textId="77777777" w:rsidR="006207C9" w:rsidRPr="006207C9" w:rsidRDefault="00162FF7" w:rsidP="006207C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Architecture of the 21</w:t>
      </w:r>
      <w:r w:rsidRPr="00162FF7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century</w:t>
      </w:r>
    </w:p>
    <w:p w14:paraId="07130AAA" w14:textId="77777777" w:rsidR="006207C9" w:rsidRPr="006207C9" w:rsidRDefault="00162FF7" w:rsidP="006207C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Blue-Blue</w:t>
      </w:r>
    </w:p>
    <w:p w14:paraId="008CCCFD" w14:textId="77777777" w:rsidR="006207C9" w:rsidRPr="00162FF7" w:rsidRDefault="00162FF7" w:rsidP="006207C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Architecture and nature</w:t>
      </w:r>
    </w:p>
    <w:p w14:paraId="34A0C659" w14:textId="77777777" w:rsidR="00162FF7" w:rsidRPr="00162FF7" w:rsidRDefault="00162FF7" w:rsidP="006207C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Intermedia – thematization and critical philosophical exploration of how different arts – painting, music, architecture – permeate each other</w:t>
      </w:r>
    </w:p>
    <w:p w14:paraId="16E62644" w14:textId="77777777" w:rsidR="00162FF7" w:rsidRPr="004B00B7" w:rsidRDefault="004B00B7" w:rsidP="006207C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A challenge – e-learning</w:t>
      </w:r>
    </w:p>
    <w:p w14:paraId="1656CD32" w14:textId="77777777" w:rsidR="004B00B7" w:rsidRPr="004B00B7" w:rsidRDefault="004B00B7" w:rsidP="006207C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Teaching art – today and tomorrow</w:t>
      </w:r>
    </w:p>
    <w:p w14:paraId="1B0AA1C3" w14:textId="77777777" w:rsidR="004B00B7" w:rsidRPr="004B00B7" w:rsidRDefault="004B00B7" w:rsidP="006207C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The virtual and </w:t>
      </w:r>
      <w:r w:rsidR="000C4A0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teaching </w:t>
      </w:r>
      <w:r w:rsidR="000C4A0F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art</w:t>
      </w:r>
    </w:p>
    <w:p w14:paraId="01EC8694" w14:textId="77777777" w:rsidR="004B00B7" w:rsidRPr="004B00B7" w:rsidRDefault="004B00B7" w:rsidP="006207C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Encouraging artistic expression</w:t>
      </w:r>
    </w:p>
    <w:p w14:paraId="69F39798" w14:textId="77777777" w:rsidR="001E148C" w:rsidRPr="004B00B7" w:rsidRDefault="004B00B7" w:rsidP="00FA4F3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Creativity – the human potential</w:t>
      </w:r>
    </w:p>
    <w:p w14:paraId="410B90C7" w14:textId="77777777" w:rsidR="001E148C" w:rsidRPr="00A573F6" w:rsidRDefault="001E148C" w:rsidP="001E148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3BE0053" w14:textId="77777777" w:rsidR="001E148C" w:rsidRPr="00A573F6" w:rsidRDefault="001E148C" w:rsidP="001E148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B1F6EC8" w14:textId="77777777" w:rsidR="006207C9" w:rsidRPr="000217F8" w:rsidRDefault="006207C9" w:rsidP="006207C9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0217F8">
        <w:rPr>
          <w:rFonts w:ascii="Times New Roman" w:hAnsi="Times New Roman"/>
          <w:b/>
        </w:rPr>
        <w:t>CONFERENCE PROCEDURE GUIDELINES</w:t>
      </w:r>
    </w:p>
    <w:p w14:paraId="5FE9C798" w14:textId="77777777" w:rsidR="006207C9" w:rsidRPr="00822A94" w:rsidRDefault="006207C9" w:rsidP="006207C9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val="sr-Cyrl-CS"/>
        </w:rPr>
      </w:pPr>
    </w:p>
    <w:p w14:paraId="269B035D" w14:textId="69DBAC79" w:rsidR="006207C9" w:rsidRPr="00904110" w:rsidRDefault="004B00B7" w:rsidP="004B00B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application with the paper title and proposal is to be sent via an electronic form on </w:t>
      </w:r>
      <w:hyperlink r:id="rId7" w:history="1">
        <w:r w:rsidRPr="009A585E">
          <w:rPr>
            <w:rStyle w:val="Hyperlink"/>
            <w:rFonts w:ascii="Times New Roman" w:hAnsi="Times New Roman"/>
          </w:rPr>
          <w:t>the webpage of the Conference</w:t>
        </w:r>
      </w:hyperlink>
      <w:bookmarkStart w:id="0" w:name="_GoBack"/>
      <w:bookmarkEnd w:id="0"/>
      <w:r>
        <w:rPr>
          <w:rFonts w:ascii="Times New Roman" w:hAnsi="Times New Roman"/>
        </w:rPr>
        <w:t xml:space="preserve">. </w:t>
      </w:r>
      <w:r w:rsidR="006207C9" w:rsidRPr="00904110">
        <w:rPr>
          <w:rFonts w:ascii="Times New Roman" w:hAnsi="Times New Roman"/>
        </w:rPr>
        <w:t xml:space="preserve">The participants </w:t>
      </w:r>
      <w:r w:rsidR="006207C9">
        <w:rPr>
          <w:rFonts w:ascii="Times New Roman" w:hAnsi="Times New Roman"/>
        </w:rPr>
        <w:t>will</w:t>
      </w:r>
      <w:r w:rsidR="006207C9" w:rsidRPr="00904110">
        <w:rPr>
          <w:rFonts w:ascii="Times New Roman" w:hAnsi="Times New Roman"/>
        </w:rPr>
        <w:t xml:space="preserve"> be informed abo</w:t>
      </w:r>
      <w:r w:rsidR="006207C9">
        <w:rPr>
          <w:rFonts w:ascii="Times New Roman" w:hAnsi="Times New Roman"/>
        </w:rPr>
        <w:t xml:space="preserve">ut the acceptance of the </w:t>
      </w:r>
      <w:r w:rsidR="00C14D63">
        <w:rPr>
          <w:rFonts w:ascii="Times New Roman" w:hAnsi="Times New Roman"/>
        </w:rPr>
        <w:t>p</w:t>
      </w:r>
      <w:r w:rsidR="006207C9">
        <w:rPr>
          <w:rFonts w:ascii="Times New Roman" w:hAnsi="Times New Roman"/>
        </w:rPr>
        <w:t>aper p</w:t>
      </w:r>
      <w:r w:rsidR="006207C9" w:rsidRPr="00904110">
        <w:rPr>
          <w:rFonts w:ascii="Times New Roman" w:hAnsi="Times New Roman"/>
        </w:rPr>
        <w:t xml:space="preserve">roposal </w:t>
      </w:r>
      <w:r w:rsidR="00C14D63">
        <w:rPr>
          <w:rFonts w:ascii="Times New Roman" w:hAnsi="Times New Roman"/>
        </w:rPr>
        <w:t>by the end of June</w:t>
      </w:r>
      <w:r w:rsidR="006207C9" w:rsidRPr="00904110">
        <w:rPr>
          <w:rFonts w:ascii="Times New Roman" w:hAnsi="Times New Roman"/>
        </w:rPr>
        <w:t>.</w:t>
      </w:r>
    </w:p>
    <w:p w14:paraId="23DCC4E7" w14:textId="77777777" w:rsidR="004C7E26" w:rsidRPr="00FA4F3A" w:rsidRDefault="006207C9" w:rsidP="000C4A0F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</w:rPr>
      </w:pPr>
      <w:r w:rsidRPr="00904110">
        <w:rPr>
          <w:rFonts w:ascii="Times New Roman" w:hAnsi="Times New Roman"/>
        </w:rPr>
        <w:t xml:space="preserve">Each participant is allotted 15 minutes to present </w:t>
      </w:r>
      <w:r>
        <w:rPr>
          <w:rFonts w:ascii="Times New Roman" w:hAnsi="Times New Roman"/>
        </w:rPr>
        <w:t>the</w:t>
      </w:r>
      <w:r w:rsidRPr="00904110">
        <w:rPr>
          <w:rFonts w:ascii="Times New Roman" w:hAnsi="Times New Roman"/>
        </w:rPr>
        <w:t xml:space="preserve"> paper.</w:t>
      </w:r>
      <w:r w:rsidR="00C14D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submitted p</w:t>
      </w:r>
      <w:r w:rsidRPr="00904110">
        <w:rPr>
          <w:rFonts w:ascii="Times New Roman" w:hAnsi="Times New Roman"/>
        </w:rPr>
        <w:t>apers will be published in the Conference Proceedings (</w:t>
      </w:r>
      <w:r>
        <w:rPr>
          <w:rFonts w:ascii="Times New Roman" w:hAnsi="Times New Roman"/>
        </w:rPr>
        <w:t>to be printed</w:t>
      </w:r>
      <w:r w:rsidRPr="00904110">
        <w:rPr>
          <w:rFonts w:ascii="Times New Roman" w:hAnsi="Times New Roman"/>
        </w:rPr>
        <w:t xml:space="preserve"> next year).</w:t>
      </w:r>
      <w:r w:rsidR="00C14D63">
        <w:rPr>
          <w:rFonts w:ascii="Times New Roman" w:hAnsi="Times New Roman"/>
        </w:rPr>
        <w:t xml:space="preserve"> </w:t>
      </w:r>
      <w:r w:rsidRPr="00904110">
        <w:rPr>
          <w:rFonts w:ascii="Times New Roman" w:hAnsi="Times New Roman"/>
        </w:rPr>
        <w:t xml:space="preserve">The </w:t>
      </w:r>
      <w:r w:rsidR="00C14D63">
        <w:rPr>
          <w:rFonts w:ascii="Times New Roman" w:hAnsi="Times New Roman"/>
        </w:rPr>
        <w:t>Conference Registration Fee is 6</w:t>
      </w:r>
      <w:r w:rsidRPr="00904110">
        <w:rPr>
          <w:rFonts w:ascii="Times New Roman" w:hAnsi="Times New Roman"/>
        </w:rPr>
        <w:t>000 Serbian dinars (RSD).</w:t>
      </w:r>
      <w:r w:rsidR="00C14D63">
        <w:rPr>
          <w:rFonts w:ascii="Times New Roman" w:hAnsi="Times New Roman"/>
        </w:rPr>
        <w:t xml:space="preserve"> </w:t>
      </w:r>
      <w:r w:rsidRPr="00904110">
        <w:rPr>
          <w:rFonts w:ascii="Times New Roman" w:hAnsi="Times New Roman"/>
        </w:rPr>
        <w:t xml:space="preserve">The Registration Fee covers the publication of the Conference Proceedings, </w:t>
      </w:r>
      <w:r w:rsidR="00C14D63">
        <w:rPr>
          <w:rFonts w:ascii="Times New Roman" w:hAnsi="Times New Roman"/>
        </w:rPr>
        <w:t xml:space="preserve">promotional material, </w:t>
      </w:r>
      <w:r w:rsidRPr="00904110">
        <w:rPr>
          <w:rFonts w:ascii="Times New Roman" w:hAnsi="Times New Roman"/>
        </w:rPr>
        <w:t>cocktail</w:t>
      </w:r>
      <w:r>
        <w:rPr>
          <w:rFonts w:ascii="Times New Roman" w:hAnsi="Times New Roman"/>
        </w:rPr>
        <w:t xml:space="preserve">, </w:t>
      </w:r>
      <w:r w:rsidR="00C14D63">
        <w:rPr>
          <w:rFonts w:ascii="Times New Roman" w:hAnsi="Times New Roman"/>
        </w:rPr>
        <w:t>lunch</w:t>
      </w:r>
      <w:r w:rsidR="000C4A0F">
        <w:rPr>
          <w:rFonts w:ascii="Times New Roman" w:hAnsi="Times New Roman"/>
        </w:rPr>
        <w:t>,</w:t>
      </w:r>
      <w:r w:rsidR="00C14D63">
        <w:rPr>
          <w:rFonts w:ascii="Times New Roman" w:hAnsi="Times New Roman"/>
        </w:rPr>
        <w:t xml:space="preserve"> and dinner (on the first day of the Conference)</w:t>
      </w:r>
      <w:r w:rsidRPr="00904110">
        <w:rPr>
          <w:rFonts w:ascii="Times New Roman" w:hAnsi="Times New Roman"/>
        </w:rPr>
        <w:t>.</w:t>
      </w:r>
      <w:r w:rsidR="00C14D63">
        <w:rPr>
          <w:rFonts w:ascii="Times New Roman" w:hAnsi="Times New Roman"/>
        </w:rPr>
        <w:t xml:space="preserve"> </w:t>
      </w:r>
      <w:r w:rsidRPr="00C14D63">
        <w:rPr>
          <w:rFonts w:ascii="Times New Roman" w:hAnsi="Times New Roman"/>
        </w:rPr>
        <w:t>Participants from Serbia</w:t>
      </w:r>
      <w:r w:rsidRPr="009041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are to </w:t>
      </w:r>
      <w:r w:rsidRPr="00904110">
        <w:rPr>
          <w:rFonts w:ascii="Times New Roman" w:hAnsi="Times New Roman"/>
        </w:rPr>
        <w:t>cover their own accommodation and travel expenses.</w:t>
      </w:r>
      <w:r w:rsidR="00C14D63">
        <w:rPr>
          <w:rFonts w:ascii="Times New Roman" w:hAnsi="Times New Roman"/>
        </w:rPr>
        <w:t xml:space="preserve"> </w:t>
      </w:r>
      <w:r w:rsidRPr="00220AC4">
        <w:rPr>
          <w:rFonts w:ascii="Times New Roman" w:hAnsi="Times New Roman"/>
        </w:rPr>
        <w:t xml:space="preserve">For </w:t>
      </w:r>
      <w:r w:rsidRPr="00C14D63">
        <w:rPr>
          <w:rFonts w:ascii="Times New Roman" w:hAnsi="Times New Roman"/>
        </w:rPr>
        <w:t xml:space="preserve">the participants </w:t>
      </w:r>
      <w:r w:rsidR="00C14D63">
        <w:rPr>
          <w:rFonts w:ascii="Times New Roman" w:hAnsi="Times New Roman"/>
        </w:rPr>
        <w:t>not from</w:t>
      </w:r>
      <w:r w:rsidRPr="00C14D63">
        <w:rPr>
          <w:rFonts w:ascii="Times New Roman" w:hAnsi="Times New Roman"/>
        </w:rPr>
        <w:t xml:space="preserve"> Serbia</w:t>
      </w:r>
      <w:r>
        <w:rPr>
          <w:rFonts w:ascii="Times New Roman" w:hAnsi="Times New Roman"/>
        </w:rPr>
        <w:t>,</w:t>
      </w:r>
      <w:r w:rsidRPr="00904110">
        <w:rPr>
          <w:rFonts w:ascii="Times New Roman" w:hAnsi="Times New Roman"/>
        </w:rPr>
        <w:t xml:space="preserve"> the Registration Fee covers </w:t>
      </w:r>
      <w:r w:rsidRPr="00C14D63">
        <w:rPr>
          <w:rFonts w:ascii="Times New Roman" w:hAnsi="Times New Roman"/>
        </w:rPr>
        <w:t>accommodation</w:t>
      </w:r>
      <w:r w:rsidRPr="00904110">
        <w:rPr>
          <w:rFonts w:ascii="Times New Roman" w:hAnsi="Times New Roman"/>
        </w:rPr>
        <w:t xml:space="preserve"> (</w:t>
      </w:r>
      <w:r w:rsidRPr="00C14D63">
        <w:rPr>
          <w:rFonts w:ascii="Times New Roman" w:hAnsi="Times New Roman"/>
        </w:rPr>
        <w:t>BB, two nights</w:t>
      </w:r>
      <w:r w:rsidRPr="00904110">
        <w:rPr>
          <w:rFonts w:ascii="Times New Roman" w:hAnsi="Times New Roman"/>
        </w:rPr>
        <w:t xml:space="preserve">). Travel expenses </w:t>
      </w:r>
      <w:r>
        <w:rPr>
          <w:rFonts w:ascii="Times New Roman" w:hAnsi="Times New Roman"/>
        </w:rPr>
        <w:t>are to be covered by the participants.</w:t>
      </w:r>
      <w:r w:rsidR="00C14D63">
        <w:rPr>
          <w:rFonts w:ascii="Times New Roman" w:hAnsi="Times New Roman"/>
        </w:rPr>
        <w:t xml:space="preserve"> From each Registration Fee, the Faculty will </w:t>
      </w:r>
      <w:r w:rsidR="00C14D63" w:rsidRPr="002C2E59">
        <w:rPr>
          <w:rFonts w:ascii="Times New Roman" w:hAnsi="Times New Roman"/>
          <w:b/>
          <w:u w:val="single"/>
        </w:rPr>
        <w:t>donate 1000 RSD to babies</w:t>
      </w:r>
      <w:r w:rsidR="00C14D63">
        <w:rPr>
          <w:rFonts w:ascii="Times New Roman" w:hAnsi="Times New Roman"/>
        </w:rPr>
        <w:t xml:space="preserve"> born</w:t>
      </w:r>
      <w:r w:rsidR="002C2E59">
        <w:rPr>
          <w:rFonts w:ascii="Times New Roman" w:hAnsi="Times New Roman"/>
        </w:rPr>
        <w:t xml:space="preserve"> on the day of the Conference</w:t>
      </w:r>
      <w:r w:rsidR="00C14D63">
        <w:rPr>
          <w:rFonts w:ascii="Times New Roman" w:hAnsi="Times New Roman"/>
        </w:rPr>
        <w:t xml:space="preserve"> in </w:t>
      </w:r>
      <w:r w:rsidR="002C2E59">
        <w:rPr>
          <w:rFonts w:ascii="Times New Roman" w:hAnsi="Times New Roman"/>
        </w:rPr>
        <w:t>the Delivery Ward of the Clinical Center Kragujevac.</w:t>
      </w:r>
    </w:p>
    <w:sectPr w:rsidR="004C7E26" w:rsidRPr="00FA4F3A" w:rsidSect="000A344E">
      <w:pgSz w:w="12240" w:h="15840"/>
      <w:pgMar w:top="719" w:right="1440" w:bottom="10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E54E5"/>
    <w:multiLevelType w:val="hybridMultilevel"/>
    <w:tmpl w:val="B6C2D57E"/>
    <w:lvl w:ilvl="0" w:tplc="CDD048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0D3477C"/>
    <w:multiLevelType w:val="hybridMultilevel"/>
    <w:tmpl w:val="93AA6DE4"/>
    <w:lvl w:ilvl="0" w:tplc="583C8D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51"/>
    <w:rsid w:val="000C4A0F"/>
    <w:rsid w:val="00162FF7"/>
    <w:rsid w:val="001E148C"/>
    <w:rsid w:val="002C2E59"/>
    <w:rsid w:val="003908F3"/>
    <w:rsid w:val="004A3161"/>
    <w:rsid w:val="004B00B7"/>
    <w:rsid w:val="004C771F"/>
    <w:rsid w:val="004C7E26"/>
    <w:rsid w:val="00614179"/>
    <w:rsid w:val="006207C9"/>
    <w:rsid w:val="00696857"/>
    <w:rsid w:val="006B2C3F"/>
    <w:rsid w:val="006C2708"/>
    <w:rsid w:val="007C07F9"/>
    <w:rsid w:val="008F411F"/>
    <w:rsid w:val="009A585E"/>
    <w:rsid w:val="00A573F6"/>
    <w:rsid w:val="00A70051"/>
    <w:rsid w:val="00BE5936"/>
    <w:rsid w:val="00C14D63"/>
    <w:rsid w:val="00C70879"/>
    <w:rsid w:val="00D87468"/>
    <w:rsid w:val="00DC60FB"/>
    <w:rsid w:val="00EB1C30"/>
    <w:rsid w:val="00FA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CACC"/>
  <w15:docId w15:val="{6CEB1A62-BACA-4540-9E8E-13E34BCD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4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4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7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207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D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8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lum.kg.ac.rs/index.php?option=com_content&amp;view=article&amp;id=355&amp;catid=73&amp;lang=en&amp;Itemid=1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3046-24A4-4B01-98F5-A919D560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Jelena Jovanovic Bubanja</cp:lastModifiedBy>
  <cp:revision>8</cp:revision>
  <dcterms:created xsi:type="dcterms:W3CDTF">2016-02-08T19:13:00Z</dcterms:created>
  <dcterms:modified xsi:type="dcterms:W3CDTF">2018-02-11T08:04:00Z</dcterms:modified>
</cp:coreProperties>
</file>